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9D3799">
        <w:rPr>
          <w:b/>
          <w:sz w:val="32"/>
          <w:szCs w:val="32"/>
        </w:rPr>
        <w:t>NDE 5</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9D3799">
        <w:rPr>
          <w:color w:val="000000"/>
        </w:rPr>
        <w:t>86</w:t>
      </w:r>
      <w:proofErr w:type="gramEnd"/>
      <w:r w:rsidR="00580F98">
        <w:rPr>
          <w:color w:val="000000"/>
        </w:rPr>
        <w:t>.</w:t>
      </w:r>
      <w:r w:rsidR="009D3799">
        <w:rPr>
          <w:color w:val="000000"/>
        </w:rPr>
        <w:t>558</w:t>
      </w:r>
      <w:r w:rsidR="00F34756">
        <w:rPr>
          <w:color w:val="000000"/>
        </w:rPr>
        <w:t>,00</w:t>
      </w:r>
      <w:r>
        <w:rPr>
          <w:color w:val="000000"/>
        </w:rPr>
        <w:t xml:space="preserve"> M² aralıklarında iş yaptırabilir. Yüklenicinin performans ve iş program disiplinine uyması halinde </w:t>
      </w:r>
      <w:r w:rsidR="009D3799">
        <w:rPr>
          <w:color w:val="000000"/>
        </w:rPr>
        <w:t>173.116,</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33494B">
        <w:rPr>
          <w:color w:val="000000"/>
        </w:rPr>
        <w:t>86.558,00</w:t>
      </w:r>
      <w:bookmarkStart w:id="0" w:name="_GoBack"/>
      <w:bookmarkEnd w:id="0"/>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E6" w:rsidRDefault="00E035E6" w:rsidP="002E51F6">
      <w:pPr>
        <w:spacing w:after="0" w:line="240" w:lineRule="auto"/>
      </w:pPr>
      <w:r>
        <w:separator/>
      </w:r>
    </w:p>
  </w:endnote>
  <w:endnote w:type="continuationSeparator" w:id="0">
    <w:p w:rsidR="00E035E6" w:rsidRDefault="00E035E6"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E6" w:rsidRDefault="00E035E6" w:rsidP="002E51F6">
      <w:pPr>
        <w:spacing w:after="0" w:line="240" w:lineRule="auto"/>
      </w:pPr>
      <w:r>
        <w:separator/>
      </w:r>
    </w:p>
  </w:footnote>
  <w:footnote w:type="continuationSeparator" w:id="0">
    <w:p w:rsidR="00E035E6" w:rsidRDefault="00E035E6"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035E6"/>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ADEA-95ED-4439-BFAF-0DED3A0B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2023-05-01T17:09:00Z</dcterms:created>
  <dcterms:modified xsi:type="dcterms:W3CDTF">2023-05-01T17:09:00Z</dcterms:modified>
</cp:coreProperties>
</file>